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205</w:t>
      </w:r>
    </w:p>
    <w:p>
      <w:r>
        <w:t>Bundesgericht (BGE), 1968-06-26, DE</w:t>
      </w:r>
    </w:p>
    <w:p>
      <w:r>
        <w:rPr>
          <w:b/>
        </w:rPr>
        <w:t xml:space="preserve">Quelle: </w:t>
      </w:r>
      <w:r>
        <w:t>https://mcp.opencaselaw.ch/entscheid/bge_94 I 205</w:t>
      </w:r>
    </w:p>
    <w:p>
      <w:r>
        <w:t>FR: ATF 94 I 205</w:t>
      </w:r>
    </w:p>
    <w:p>
      <w:r>
        <w:t>IT: DTF 94 I 205</w:t>
      </w:r>
    </w:p>
    <w:p>
      <w:pPr>
        <w:pStyle w:val="Heading2"/>
      </w:pPr>
      <w:r>
        <w:t>Regeste</w:t>
      </w:r>
    </w:p>
    <w:p>
      <w:r>
        <w:t>Regeste Staatsrechtliche Beschwerde. Begriff des Zwischenentscheids und des nicht wiedergutzumachenden Nachteils im Sinne von Art. 87 OG. Kantonaler Zivilprozess. Verbotsverfahren. Auslegung des § 263 aarg. ZPO, wonach "allgemeine Verbote durch Anbringen von Warnungstafeln oder auf andere angemessene Weise genügend bekanntzumachen" sind. Mit Wortlaut und Sinn dieser Bestimmung unvereinbar ist die Annahme, dass bei Erlass des Verbots des Befahrens eines Privatwegs mit Motorfahrzeugen die Warnungstafel die ganze Verbotsverfügung enthalten müsse, das Signal Nr. 201 gemäss Art. 16 SSV keine genügende Bekanntmachung darstelle und das im Anschluss an das Aufstellen dieses Signals eingelegte Rechtsmittel gegen das Verbot daher verfrüht und unzulässig sei.</w:t>
      </w:r>
    </w:p>
    <w:p>
      <w:pPr>
        <w:pStyle w:val="Heading2"/>
      </w:pPr>
      <w:r>
        <w:t>Erwägungen</w:t>
      </w:r>
    </w:p>
    <w:p>
      <w:r>
        <w:rPr>
          <w:b/>
        </w:rPr>
        <w:t>E. 1</w:t>
      </w:r>
    </w:p>
    <w:p>
      <w:r>
        <w:t>Die Beschwerdegegner machen zur Begründung ihres Antrages, auf die Beschwerde wegen Verletzung des Art. 4 BV nicht einzutreten, unter Berufung auf Art. 87 OG geltend, sie richte sich gegen einen blossen Zwischenentscheid, der für den Beschwerdeführer deshalb keinen nicht wiedergutzumachenden Nachteil zur Folge habe, weil er einen neuen Rechtsvorschlag erheben könne, sobald "die prozessualen Voraussetzungen zu dessen Erhebung vorhanden" seien. Der Einwand ist unbegründet. Durch den angefochtenen Entscheid wird das vom Beschwerdeführer eingeleitete Rechtsvorschlagsverfahren abgeschlossen und der Beschwerdeführer daran gehindert, das von den Beschwerdegegnern erwirkte Verbot insoweit, als es sich BGE 94 I 205 S. 209 gegen ihn richtet, in dem in den § § 267 ff. ZPO vorgesehenen Wege aufheben zu lassen; er muss zu diesem Zwecke einen ordentlichen Zivilprozess einleiten. Der angefochtene Entscheid stellt daher einen Endentscheid im Sinne des Art. 87 OG dar. Selbst wenn er übrigens als Zwischenentscheid zu gelten hätte, wäre auf die Beschwerde einzutreten, da er für den Beschwerdeführer einen nicht wiedergutzumachenden Nachteil zur Folge hat. Das auf Grund des erwirkten Verbotes aufgestellte Signal Nr. 201 gilt, bis zur Aufhebung des Verbots in einem allfälligen ordentlichen Prozess, auch gegenüber dem Beschwerdeführer, und diese Tatsache kann auch durch ein für ihn günstiges Urteil im ordentlichen Prozess nicht mehr ungeschehen gemacht werden (vgl. BGE 71 I 386 Erw. 1, BGE 78 I 251 , BGE 87 I 105 ).</w:t>
      </w:r>
    </w:p>
    <w:p>
      <w:r>
        <w:rPr>
          <w:b/>
        </w:rPr>
        <w:t>E. 2</w:t>
      </w:r>
    </w:p>
    <w:p>
      <w:r>
        <w:t>Der Beschwerdeführer rügt als Verletzung des Grundsatzes der derogatorischen Kraft des Bundesrechts, dass das Obergericht das Signal Nr. 201 nicht als Warnungstafel im Sinne von § 263 ZPO anerkenne und die Verwendung einer Tafel mit dem vollständigen Text des Verbotes vorschreibe. Die Beschwerdegegner wenden ein, diese Rüge sei unzulässig, weil sie mit der Nichtigkeitsbeschwerde gemäss Art. 68 lit. a OG hätte erhoben werden können. Das trifft indes nicht zu. Zwar liegt, entgegen der Auffassung des Beschwerdeführers, eine Zivilsache im Sinne von Art. 68 Abs. 1 OG vor, da es sich bei dem von den Beschwerdegegnern erwirkten Verbot um eine Massnahme des Besitzesschutzes handelt (vgl. BGE 83 II 143 Erw. 1; EICHENBERGER, Beiträge zum aarg. Zivilprozessrecht S. 231). Dagegen kommt als eidgenössisches Recht im Sinne von Art. 68 lit. a OG nur das Zivilrecht in Betracht, nicht auch das eidgenössische Verfassungs- und Verwaltungsrecht ( BGE 72 II 309 Erw. 2, BGE 87 II 206 Erw. 2 a; BIRCHMEIER, Handbuch des OG S. 256/7). Die Bestimmungen des SVG und der SSV, deren Missachtung der Beschwerdeführer rügt, gehören aber nicht zum Zivilrecht, sondern sind verwaltungsrechtlicher Natur. Wegen Verletzung dieser Bestimmungen durch einen kantonalen Entscheid ist daher an sich die Beschwerde an den Bundesrat gemäss Art. 125 lit. b OG zulässig (vgl. Urteil des Bundesgerichts vom 13. Juli 1966 i.S. Schütz Erw. 2 und den diesem Urteil vorausgegangenen Meinungsaustausch mit dem Bundesrat). Ob die Missachtung des Art. 5 SVG und des Art. 72 SSV , die der Beschwerdeführer dem Obergericht vorwirft, durch Beschwerde beim Bundesrat geltend gemacht BGE 94 I 205 S. 210 werden könnte und die staatsrechtliche Beschwerde daher zur Beurteilung dieser Rüge dem Bundesrat zu überweisen wäre ( Art. 96 Abs. 1 OG ), kann indes dahingestellt bleiben, da die Rüge der Verletzung des SVG und der SSV als unbegründet erscheint und der angefochtene Entscheid, wie sich aus den nachstehenden Erwägungen ergibt, jedenfalls wegen Verletzung des Art. 4 BV aufgehoben werden muss.</w:t>
      </w:r>
    </w:p>
    <w:p>
      <w:r>
        <w:rPr>
          <w:b/>
        </w:rPr>
        <w:t>E. 3</w:t>
      </w:r>
    </w:p>
    <w:p>
      <w:r>
        <w:t>Das Obergericht nimmt an, dass die in § 266 ZPO vorgesehene Befugnis, gegen ein vom Richter erlassenes allgemeines Verbot Rechtsvorschlag zu erheben, die Bekanntmachung des Verbots voraussetze und dass ein vorher erklärter Rechtsvorschlag unzulässig sei. In der staatsrechtlichen Beschwerde wird nicht bestritten, dass erst nach der Bekanntmachung des Verbots Rechtsvorschlag erhoben werden könne. Streitig ist einzig, ob das Aufstellen des Signals Nr. 201 am Eingang des St. Annaweges als Bekanntmachung des Verbots zu gelten hat, das der Präsident des Bezirksgerichts Baden am 2. Mai 1966 erlassen hat. a) Nach § 263 ZPO sind allgemeine Verbote durch Anbringen von Warnungstafeln oder auf andere angemessene Weise genügend bekannt zu machen. Der Gerichtspräsident hat beim Erlass des Verbotes Bekanntmachung durch "Aufstellen von Warnungstafeln" angeordnet. Wie eine solche Warnungstafel beschaffen sein müsse, sagt das Gesetz nicht, noch hat der Richter, der das Verbot erlassen hat, etwas über die Ausgestaltung der Warnungstafel angeordnet. Das Obergericht ist der Auffassung, dass die Warnungstafel die ganze Verbotsverfügung enthalten müsse und dass daher die von den Beschwerdegegnern aufgestellte Signaltafel Nr. 201 keine hinreichende Bekanntmachung des in Frage stehenden Verbotes bilde. Für diese Auslegung fehlt indes jeder Anhaltspunkt. § 263 ZPO schreibt lediglich "genügende" Bekanntmachung des Verbotes vor. Das bezieht sich offensichtlich auch auf die Ausgestaltung der Warnungstafeln. Genügend ist eine Bekanntmachung schon dann, wenn sie den Verbotsinhalt in klarer, unmissverständlicher Weise wiedergibt. Das kann nicht nur durch wörtliche Wiedergabe der ganzen Verbotsverfügung geschehen, sondern auch durch allgemeinverständliche, den Verbotsinhalt symbolisierende Zeichen, wie sie für das Gebiet des Strassenverkehrs in der SSV vorgesehen sind. Solche Zeichen sind zur Bekanntmachung von Verboten, die sich an vorbeifahrende BGE 94 I 205 S. 211 Motorfahrzeugführer richten, in der Regel sogar besser geeignet als die Wiedergabe des Verbotstextes, dessen Lektüre ihnen nicht möglich ist. Durch das richterliche Verbot vom 2. Mai 1966 wurde den Unberechtigten das Befahren des St. Annaweges mit Motorfahrzeugen irgendwelcher Art untersagt, wurde also dieser Weg als ein Privatweg gekennzeichnet, der mit einem richterlichen Fahrverbot belegt ist. Das Signal Nr. 201 mit dem Zusatz "Privatweg" bedeutet, dass die Wegeigentümer zum Schutze ihres Privatweges bei der zuständigen Behörde ein allgemeines Fahrverbot erwirkt haben, dessen Übertretung strafbar ist ( Art. 27 und 90 SVG , 16 und 88 Abs. 3 SSV). Das Signal gibt somit den wesentlichen Inhalt des richterlichen Verbotes in einer jedem Motorfahrzeugführer bekannten, unmissverständlichen Weise wieder. Da dieses Signal zudem, wie im angefochtenen Entscheid ausdrücklich festgestellt wird, auf Veranlassung der Beschwerdegegner aufgestellt worden ist, liegt eine genügende Bekanntmachung des Verbotes im Sinne des § 263 ZPO vor. Indem das Obergericht diese Bekanntmachung trotzdem als unbeachtlich betrachtete, auf den dagegen innert der Frist des § 266 ZPO erhobenen Rechtsvorschlag des Beschwerdeführers nicht eintrat und damit die Prüfung seines Begehrens ablehnte, hat es Art. 4 BV verletzt (vgl. BGE 93 I 211 ff. und dort angeführte frühere Urteile). b) Was im angefochtenen Entscheid vorgebracht wird, vermag die vom Obergericht vertretene, mit Wortlaut und Sinn des § 263 ZPO unvereinbare Auslegung nicht als haltbar erscheinen zu lassen. aa) Nach Ansicht des Obergerichts kann das Aufstellen des Signals Nr. 201 mit dem Zusatz "Privatweg" schon deshalb nicht als Bekanntmachung im Sinne von § 263 in Verbindung mit § 266 Abs. 1 ZPO in Betracht fallen, weil die Beschwerdegegner sich das Signal auf vorschriftswidrige Weise, nämlich ohne Bewilligung des Stadtrates und ohne Genehmigung des kantonalen Polizeikommandos, von der Stadtpolizei beschafft und es aufgestellt hätten. Ob der Richter befugt ist, hierüber im Rahmen des Rechtsvorschlagsverfahrens gemäss § 267 ff. ZPO zu entscheiden, kann dahingestellt bleiben. Denn für die hier zur Beurteilung stehende Frage, ob eine Bekanntmachung im Sinne der §§ 263/266 ZPO vorliegt, ist es belanglos, wie sich die Beschwerdegegner die der Bekanntmachung dienende Warnungstafel BGE 94 I 205 S. 212 beschafft haben. Erheblich ist allein, dass sie eine solche Warnungstafel aufgestellt und auf diese Weise ihren Willen, vom erwirkten richterlichen Verbot Gebrauch zu machen, unmissverständlich bekundet haben. Für diesen Fall räumt § 266 ZPO denjenigen, die durch das Verbot in ihren Rechten verletzt werden, das Recht ein, durch Erheben von Rechtsvorschlag eine richterliche Überprüfung des Verbots in einem kontradiktorischen Verfahren herbeizuführen. Es lässt sich weder mit dem Wortlaut und Sinn von § 266 ZPO vereinbaren noch durch ein ersichtliches schutzwürdiges Interesse rechtfertigen, dem Beschwerdeführer diesen Rechtsweg durch Nichteintreten auf seinen Rechtsvorschlag abzuschneiden. bb) Nach Auffassung des Obergerichts liegt im Aufstellen des Signals Nr. 201 auch deshalb keine Bekanntmachung im Sinne der §§ 263/266 ZPO, weil Art. 88 Abs. 3 SSV das Aufstellen des Signals von der vorherigen Erwirkung eines richterlichen Verbotes abhängig mache, worunter nur ein rechtswirksames Verbot verstanden werden könne; rechtswirksam sei indessen ein Verbot erst von der Bekanntmachung an, weshalb ein vorher aufgestelltes Verbotssignal keine Bekanntmachung gemäss § 263 ZPO darstellen könne. Diese Betrachtungsweise ist unhaltbar und willkürlich. Einmal ist es, wie dargelegt (lit. aa), unerheblich, wie das Signal beschafft wurde; erheblich ist nur, dass es aufgestellt wurde. Ist sodann das Signal Nr. 201, wie ebenfalls dargelegt wurde, geeignet, das Verbot bekannt zu machen, so ist es schlechterdings unverständlich und nicht vertretbar, die Befugnis zu dieser Bekanntmachung von einer vorgängigen andern Bekanntmachung abhängig zu machen. Übrigens ist die obergerichtliche Annahme, ein Verbot entfalte vor der Bekanntmachung keine Rechtswirkungen, in dieser allgemeinen Form mit der ZPO unvereinbar. Das ergibt sich schon aus § 269 ZPO , wonach ein Verbot, welches nicht durch Rechtsvorschlag entkräftet ist und für welches keine kürzere Dauer bestimmt wurde, 10 Jahre von seinem Erlass an dauert. Sodann entsteht mit dem Erlass des Verbotes das Recht auf dessen Bekanntmachung, die erforderlich ist, weil das Verbot von denjenigen, an die es sich richtet, nur dann beachtet und befolgt werden kann, wenn sie es kennen. Die Beschwerde ist demnach, soweit damit Verletzung des Art. 4 BV geltend gemacht wird, begründet und gutzuheissen. Der angefochtene Entscheid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